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Cambria" w:cs="Cambria" w:eastAsia="Cambria" w:hAnsi="Cambria"/>
          <w:b/>
          <w:bCs/>
          <w:color w:val="1C2D5E"/>
          <w:sz w:val="36"/>
          <w:szCs w:val="36"/>
        </w:rPr>
        <w:t xml:space="preserve">VERIFEYE® CREDIBILITY ASSESSMENT REPORT</w:t>
      </w:r>
    </w:p>
    <w:p>
      <w:pPr>
        <w:spacing w:after="60" w:before="0"/>
        <w:jc w:val="center"/>
      </w:pPr>
      <w:r>
        <w:rPr>
          <w:rFonts w:ascii="Calibri" w:cs="Calibri" w:eastAsia="Calibri" w:hAnsi="Calibri"/>
          <w:i/>
          <w:iCs/>
          <w:color w:val="555555"/>
          <w:sz w:val="22"/>
          <w:szCs w:val="22"/>
        </w:rPr>
        <w:t xml:space="preserve">Prepared by Integrity Assessments Investigations</w:t>
      </w:r>
    </w:p>
    <w:p>
      <w:pPr>
        <w:spacing w:after="240" w:before="0"/>
        <w:jc w:val="center"/>
      </w:pPr>
      <w:r>
        <w:rPr>
          <w:rFonts w:ascii="Calibri" w:cs="Calibri" w:eastAsia="Calibri" w:hAnsi="Calibri"/>
          <w:b/>
          <w:bCs/>
          <w:color w:val="CC0000"/>
          <w:sz w:val="20"/>
          <w:szCs w:val="20"/>
        </w:rPr>
        <w:t xml:space="preserve">FOR ATTORNEY USE — CONFIDENTIAL WORK PRODUCT</w:t>
      </w:r>
    </w:p>
    <w:p>
      <w:pPr>
        <w:pBdr>
          <w:bottom w:val="single" w:color="C9A84C" w:sz="6" w:space="1"/>
        </w:pBdr>
        <w:spacing w:after="80" w:before="280"/>
      </w:pPr>
      <w:r>
        <w:rPr>
          <w:rFonts w:ascii="Cambria" w:cs="Cambria" w:eastAsia="Cambria" w:hAnsi="Cambria"/>
          <w:b/>
          <w:bCs/>
          <w:color w:val="1C2D5E"/>
          <w:sz w:val="26"/>
          <w:szCs w:val="26"/>
        </w:rPr>
        <w:t xml:space="preserve">SECTION 1 — CASE INFORMATION</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gridCol w:w="720"/>
      </w:tblGrid>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Subject Name: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[LAST, FIRST MIDDLE]</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Date of Birth:</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[MM/DD/YYYY]</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Cause Number:</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[CAUSE NO.]</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Court:</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[COURT NAME AND NUMBER]</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County:</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[COUNTY], Texas</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Charges:</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[LIST CHARGES]</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Defense Attorney:</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[ATTORNEY NAME, BAR NO.]</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Law Firm:</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[FIRM NAME]</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Assessment Date: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[MM/DD/YYYY]</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Report Date: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[MM/DD/YYYY]</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Assessment Type: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VerifEye® Remote Credibility Assessment</w:t>
            </w:r>
          </w:p>
        </w:tc>
      </w:tr>
    </w:tbl>
    <w:p>
      <w:pPr>
        <w:spacing w:after="0" w:before="2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2 — EXAMINER CREDENTIALS</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gridCol w:w="720"/>
      </w:tblGrid>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Examiner:</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Dr. Celvin G. Walwyn, Ph.D.</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Title: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Executive Director &amp; Lead Investigator</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Certification:</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Converus-Certified VerifEye® Examiner</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License: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TX Private Investigator License — A19944401</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TCOLE: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Active Master Peace Officer License</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Education:</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Ph.D., Public Safety Leadership (Police Leadership)</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Institution:</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Capella University — Summa Cum Laude, Highest Honors</w:t>
            </w:r>
          </w:p>
        </w:tc>
      </w:tr>
      <w:tr>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b/>
                <w:bCs/>
                <w:color w:val="1C2D5E"/>
                <w:sz w:val="20"/>
                <w:szCs w:val="20"/>
              </w:rPr>
              <w:t xml:space="preserve">Experience:</w:t>
            </w:r>
          </w:p>
        </w:tc>
        <w:tc>
          <w:tcPr>
            <w:tcW w:type="dxa" w:w="64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libri" w:cs="Calibri" w:eastAsia="Calibri" w:hAnsi="Calibri"/>
                <w:color w:val="000000"/>
                <w:sz w:val="20"/>
                <w:szCs w:val="20"/>
              </w:rPr>
              <w:t xml:space="preserve">38+ Years Law Enforcement — International Police Commissioner (Ret.); Deputy Commissioner of Police for Operations, USVI (Ret.); Texas Police Chief (Ret.)</w:t>
            </w:r>
          </w:p>
        </w:tc>
      </w:tr>
    </w:tbl>
    <w:p>
      <w:pPr>
        <w:spacing w:after="0" w:before="2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3 — TECHNOLOGY &amp; METHODOLOGY</w:t>
      </w:r>
    </w:p>
    <w:p>
      <w:pPr>
        <w:spacing w:after="0" w:before="120"/>
      </w:pPr>
      <w:r>
        <w:t xml:space="preserve"/>
      </w:r>
    </w:p>
    <w:p>
      <w:pPr>
        <w:spacing w:after="100" w:before="100"/>
        <w:jc w:val="left"/>
      </w:pPr>
      <w:r>
        <w:rPr>
          <w:rFonts w:ascii="Calibri" w:cs="Calibri" w:eastAsia="Calibri" w:hAnsi="Calibri"/>
          <w:b w:val="false"/>
          <w:bCs w:val="false"/>
          <w:i w:val="false"/>
          <w:iCs w:val="false"/>
          <w:color w:val="000000"/>
          <w:sz w:val="22"/>
          <w:szCs w:val="22"/>
        </w:rPr>
        <w:t xml:space="preserve">VerifEye® is a scientifically validated credibility assessment technology developed by Converus, Inc. (Lehi, Utah). It measures involuntary ocular-motor responses — including pupil dilation, blink rate, eye movement, and fixation patterns — while the subject responds to a structured series of true/false questions administered via smartphone application.</w:t>
      </w:r>
    </w:p>
    <w:p>
      <w:pPr>
        <w:spacing w:after="0" w:before="80"/>
      </w:pPr>
      <w:r>
        <w:t xml:space="preserve"/>
      </w:r>
    </w:p>
    <w:p>
      <w:pPr>
        <w:spacing w:after="100" w:before="100"/>
        <w:jc w:val="left"/>
      </w:pPr>
      <w:r>
        <w:rPr>
          <w:rFonts w:ascii="Calibri" w:cs="Calibri" w:eastAsia="Calibri" w:hAnsi="Calibri"/>
          <w:b w:val="false"/>
          <w:bCs w:val="false"/>
          <w:i w:val="false"/>
          <w:iCs w:val="false"/>
          <w:color w:val="000000"/>
          <w:sz w:val="22"/>
          <w:szCs w:val="22"/>
        </w:rPr>
        <w:t xml:space="preserve">The underlying science, developed at the University of Utah beginning in 2002, is based on the principle that deception increases cognitive load, which produces measurable and involuntary changes in eye behavior. VerifEye® applies proprietary machine-learning algorithms to over 180,000 eye measurements per test session, producing a Converus Credibility Score indicating the probability of truthfulness.</w:t>
      </w:r>
    </w:p>
    <w:p>
      <w:pPr>
        <w:spacing w:after="0" w:before="80"/>
      </w:pPr>
      <w:r>
        <w:t xml:space="preserve"/>
      </w:r>
    </w:p>
    <w:p>
      <w:pPr>
        <w:spacing w:after="100" w:before="100"/>
        <w:jc w:val="left"/>
      </w:pPr>
      <w:r>
        <w:rPr>
          <w:rFonts w:ascii="Calibri" w:cs="Calibri" w:eastAsia="Calibri" w:hAnsi="Calibri"/>
          <w:b/>
          <w:bCs/>
          <w:i w:val="false"/>
          <w:iCs w:val="false"/>
          <w:color w:val="000000"/>
          <w:sz w:val="22"/>
          <w:szCs w:val="22"/>
        </w:rPr>
        <w:t xml:space="preserve">Key Technical Parameters:</w:t>
      </w:r>
    </w:p>
    <w:p>
      <w:pPr>
        <w:pStyle w:val="ListParagraph"/>
        <w:numPr>
          <w:ilvl w:val="0"/>
          <w:numId w:val="2"/>
        </w:numPr>
        <w:spacing w:after="40" w:before="60"/>
      </w:pPr>
      <w:r>
        <w:rPr>
          <w:rFonts w:ascii="Calibri" w:cs="Calibri" w:eastAsia="Calibri" w:hAnsi="Calibri"/>
          <w:sz w:val="22"/>
          <w:szCs w:val="22"/>
        </w:rPr>
        <w:t xml:space="preserve">Accuracy: 80%+ under standard conditions (Converus-validated)</w:t>
      </w:r>
    </w:p>
    <w:p>
      <w:pPr>
        <w:pStyle w:val="ListParagraph"/>
        <w:numPr>
          <w:ilvl w:val="0"/>
          <w:numId w:val="2"/>
        </w:numPr>
        <w:spacing w:after="40" w:before="40"/>
      </w:pPr>
      <w:r>
        <w:rPr>
          <w:rFonts w:ascii="Calibri" w:cs="Calibri" w:eastAsia="Calibri" w:hAnsi="Calibri"/>
          <w:sz w:val="22"/>
          <w:szCs w:val="22"/>
        </w:rPr>
        <w:t xml:space="preserve">Test Duration: Approximately 10 minutes</w:t>
      </w:r>
    </w:p>
    <w:p>
      <w:pPr>
        <w:pStyle w:val="ListParagraph"/>
        <w:numPr>
          <w:ilvl w:val="0"/>
          <w:numId w:val="2"/>
        </w:numPr>
        <w:spacing w:after="40" w:before="40"/>
      </w:pPr>
      <w:r>
        <w:rPr>
          <w:rFonts w:ascii="Calibri" w:cs="Calibri" w:eastAsia="Calibri" w:hAnsi="Calibri"/>
          <w:sz w:val="22"/>
          <w:szCs w:val="22"/>
        </w:rPr>
        <w:t xml:space="preserve">Administration: Remote — subject uses a standard iOS or Android smartphone</w:t>
      </w:r>
    </w:p>
    <w:p>
      <w:pPr>
        <w:pStyle w:val="ListParagraph"/>
        <w:numPr>
          <w:ilvl w:val="0"/>
          <w:numId w:val="2"/>
        </w:numPr>
        <w:spacing w:after="40" w:before="40"/>
      </w:pPr>
      <w:r>
        <w:rPr>
          <w:rFonts w:ascii="Calibri" w:cs="Calibri" w:eastAsia="Calibri" w:hAnsi="Calibri"/>
          <w:sz w:val="22"/>
          <w:szCs w:val="22"/>
        </w:rPr>
        <w:t xml:space="preserve">No physical contact, no sensors, no special equipment required</w:t>
      </w:r>
    </w:p>
    <w:p>
      <w:pPr>
        <w:pStyle w:val="ListParagraph"/>
        <w:numPr>
          <w:ilvl w:val="0"/>
          <w:numId w:val="2"/>
        </w:numPr>
        <w:spacing w:after="100" w:before="40"/>
      </w:pPr>
      <w:r>
        <w:rPr>
          <w:rFonts w:ascii="Calibri" w:cs="Calibri" w:eastAsia="Calibri" w:hAnsi="Calibri"/>
          <w:sz w:val="22"/>
          <w:szCs w:val="22"/>
        </w:rPr>
        <w:t xml:space="preserve">Results scored by proprietary logistic regression algorithm — fully automated, examiner-unbiased</w:t>
      </w:r>
    </w:p>
    <w:p>
      <w:pPr>
        <w:spacing w:after="0" w:before="1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4 — PRE-TEST PROCEDURE</w:t>
      </w:r>
    </w:p>
    <w:p>
      <w:pPr>
        <w:spacing w:after="0" w:before="120"/>
      </w:pPr>
      <w:r>
        <w:t xml:space="preserve"/>
      </w:r>
    </w:p>
    <w:p>
      <w:pPr>
        <w:spacing w:after="100" w:before="100"/>
        <w:jc w:val="left"/>
      </w:pPr>
      <w:r>
        <w:rPr>
          <w:rFonts w:ascii="Calibri" w:cs="Calibri" w:eastAsia="Calibri" w:hAnsi="Calibri"/>
          <w:b w:val="false"/>
          <w:bCs w:val="false"/>
          <w:i w:val="false"/>
          <w:iCs w:val="false"/>
          <w:color w:val="000000"/>
          <w:sz w:val="22"/>
          <w:szCs w:val="22"/>
        </w:rPr>
        <w:t xml:space="preserve">Prior to administration, the IAI examiner conducted the following:</w:t>
      </w:r>
    </w:p>
    <w:p>
      <w:pPr>
        <w:pStyle w:val="ListParagraph"/>
        <w:numPr>
          <w:ilvl w:val="0"/>
          <w:numId w:val="2"/>
        </w:numPr>
        <w:spacing w:after="40" w:before="80"/>
      </w:pPr>
      <w:r>
        <w:rPr>
          <w:rFonts w:ascii="Calibri" w:cs="Calibri" w:eastAsia="Calibri" w:hAnsi="Calibri"/>
          <w:sz w:val="22"/>
          <w:szCs w:val="22"/>
        </w:rPr>
        <w:t xml:space="preserve">Identity verification of the subject</w:t>
      </w:r>
    </w:p>
    <w:p>
      <w:pPr>
        <w:pStyle w:val="ListParagraph"/>
        <w:numPr>
          <w:ilvl w:val="0"/>
          <w:numId w:val="2"/>
        </w:numPr>
        <w:spacing w:after="40" w:before="40"/>
      </w:pPr>
      <w:r>
        <w:rPr>
          <w:rFonts w:ascii="Calibri" w:cs="Calibri" w:eastAsia="Calibri" w:hAnsi="Calibri"/>
          <w:sz w:val="22"/>
          <w:szCs w:val="22"/>
        </w:rPr>
        <w:t xml:space="preserve">Explanation of the VerifEye® process, purpose, and voluntary nature of the assessment</w:t>
      </w:r>
    </w:p>
    <w:p>
      <w:pPr>
        <w:pStyle w:val="ListParagraph"/>
        <w:numPr>
          <w:ilvl w:val="0"/>
          <w:numId w:val="2"/>
        </w:numPr>
        <w:spacing w:after="40" w:before="40"/>
      </w:pPr>
      <w:r>
        <w:rPr>
          <w:rFonts w:ascii="Calibri" w:cs="Calibri" w:eastAsia="Calibri" w:hAnsi="Calibri"/>
          <w:sz w:val="22"/>
          <w:szCs w:val="22"/>
        </w:rPr>
        <w:t xml:space="preserve">Review of test questions with the subject prior to administration</w:t>
      </w:r>
    </w:p>
    <w:p>
      <w:pPr>
        <w:pStyle w:val="ListParagraph"/>
        <w:numPr>
          <w:ilvl w:val="0"/>
          <w:numId w:val="2"/>
        </w:numPr>
        <w:spacing w:after="40" w:before="40"/>
      </w:pPr>
      <w:r>
        <w:rPr>
          <w:rFonts w:ascii="Calibri" w:cs="Calibri" w:eastAsia="Calibri" w:hAnsi="Calibri"/>
          <w:sz w:val="22"/>
          <w:szCs w:val="22"/>
        </w:rPr>
        <w:t xml:space="preserve">Confirmation that the subject understood all questions and had no objections</w:t>
      </w:r>
    </w:p>
    <w:p>
      <w:pPr>
        <w:pStyle w:val="ListParagraph"/>
        <w:numPr>
          <w:ilvl w:val="0"/>
          <w:numId w:val="2"/>
        </w:numPr>
        <w:spacing w:after="100" w:before="40"/>
      </w:pPr>
      <w:r>
        <w:rPr>
          <w:rFonts w:ascii="Calibri" w:cs="Calibri" w:eastAsia="Calibri" w:hAnsi="Calibri"/>
          <w:sz w:val="22"/>
          <w:szCs w:val="22"/>
        </w:rPr>
        <w:t xml:space="preserve">Confirmation of adequate lighting, camera functionality, and device compliance with VerifEye® requirements</w:t>
      </w:r>
    </w:p>
    <w:p>
      <w:pPr>
        <w:spacing w:after="0" w:before="1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5 — QUESTIONS ADMINISTERED</w:t>
      </w:r>
    </w:p>
    <w:p>
      <w:pPr>
        <w:spacing w:after="0" w:before="120"/>
      </w:pPr>
      <w:r>
        <w:t xml:space="preserve"/>
      </w:r>
    </w:p>
    <w:p>
      <w:pPr>
        <w:spacing w:after="100" w:before="100"/>
        <w:jc w:val="left"/>
      </w:pPr>
      <w:r>
        <w:rPr>
          <w:rFonts w:ascii="Calibri" w:cs="Calibri" w:eastAsia="Calibri" w:hAnsi="Calibri"/>
          <w:b w:val="false"/>
          <w:bCs w:val="false"/>
          <w:i w:val="false"/>
          <w:iCs w:val="false"/>
          <w:color w:val="000000"/>
          <w:sz w:val="22"/>
          <w:szCs w:val="22"/>
        </w:rPr>
        <w:t xml:space="preserve">The following questions were administered during the assessment. All questions were reviewed and agreed upon by the subject prior to testing.</w:t>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
        <w:gridCol w:w="9360"/>
      </w:tblGrid>
      <w:tr>
        <w:tc>
          <w:tcPr>
            <w:tcW w:type="dxa" w:w="720"/>
            <w:tcBorders>
              <w:top w:val="single" w:color="C9A84C" w:sz="4"/>
              <w:left w:val="single" w:color="C9A84C" w:sz="4"/>
              <w:bottom w:val="single" w:color="C9A84C" w:sz="4"/>
              <w:right w:val="single" w:color="C9A84C" w:sz="4"/>
            </w:tcBorders>
            <w:shd w:fill="1C2D5E" w:val="clear"/>
            <w:tcMar>
              <w:top w:type="dxa" w:w="80"/>
              <w:left w:type="dxa" w:w="120"/>
              <w:bottom w:type="dxa" w:w="80"/>
              <w:right w:type="dxa" w:w="120"/>
            </w:tcMar>
            <w:vAlign w:val="center"/>
          </w:tcPr>
          <w:p>
            <w:pPr>
              <w:jc w:val="center"/>
            </w:pPr>
            <w:r>
              <w:rPr>
                <w:rFonts w:ascii="Calibri" w:cs="Calibri" w:eastAsia="Calibri" w:hAnsi="Calibri"/>
                <w:b/>
                <w:bCs/>
                <w:color w:val="FFFFFF"/>
                <w:sz w:val="20"/>
                <w:szCs w:val="20"/>
              </w:rPr>
              <w:t xml:space="preserve">#</w:t>
            </w:r>
          </w:p>
        </w:tc>
        <w:tc>
          <w:tcPr>
            <w:tcW w:type="dxa" w:w="9360"/>
            <w:tcBorders>
              <w:top w:val="single" w:color="C9A84C" w:sz="4"/>
              <w:left w:val="single" w:color="C9A84C" w:sz="4"/>
              <w:bottom w:val="single" w:color="C9A84C" w:sz="4"/>
              <w:right w:val="single" w:color="C9A84C" w:sz="4"/>
            </w:tcBorders>
            <w:shd w:fill="1C2D5E" w:val="clear"/>
            <w:tcMar>
              <w:top w:type="dxa" w:w="80"/>
              <w:left w:type="dxa" w:w="120"/>
              <w:bottom w:type="dxa" w:w="80"/>
              <w:right w:type="dxa" w:w="120"/>
            </w:tcMar>
          </w:tcPr>
          <w:p>
            <w:r>
              <w:rPr>
                <w:rFonts w:ascii="Calibri" w:cs="Calibri" w:eastAsia="Calibri" w:hAnsi="Calibri"/>
                <w:b/>
                <w:bCs/>
                <w:color w:val="FFFFFF"/>
                <w:sz w:val="20"/>
                <w:szCs w:val="20"/>
              </w:rPr>
              <w:t xml:space="preserve">Question Text</w:t>
            </w:r>
          </w:p>
        </w:tc>
      </w:tr>
      <w:tr>
        <w:tc>
          <w:tcPr>
            <w:tcW w:type="dxa" w:w="720"/>
            <w:tcBorders>
              <w:top w:val="single" w:color="C9A84C" w:sz="4"/>
              <w:left w:val="single" w:color="C9A84C" w:sz="4"/>
              <w:bottom w:val="single" w:color="C9A84C" w:sz="4"/>
              <w:right w:val="single" w:color="C9A84C" w:sz="4"/>
            </w:tcBorders>
            <w:tcMar>
              <w:top w:type="dxa" w:w="120"/>
              <w:left w:type="dxa" w:w="120"/>
              <w:bottom w:type="dxa" w:w="200"/>
              <w:right w:type="dxa" w:w="120"/>
            </w:tcMar>
            <w:vAlign w:val="center"/>
          </w:tcPr>
          <w:p>
            <w:pPr>
              <w:jc w:val="center"/>
            </w:pPr>
            <w:r>
              <w:rPr>
                <w:rFonts w:ascii="Calibri" w:cs="Calibri" w:eastAsia="Calibri" w:hAnsi="Calibri"/>
                <w:b/>
                <w:bCs/>
                <w:color w:val="1C2D5E"/>
                <w:sz w:val="20"/>
                <w:szCs w:val="20"/>
              </w:rPr>
              <w:t xml:space="preserve">1.</w:t>
            </w:r>
          </w:p>
        </w:tc>
        <w:tc>
          <w:tcPr>
            <w:tcW w:type="dxa" w:w="9360"/>
            <w:tcBorders>
              <w:top w:val="single" w:color="C9A84C" w:sz="4"/>
              <w:left w:val="single" w:color="C9A84C" w:sz="4"/>
              <w:bottom w:val="single" w:color="C9A84C" w:sz="4"/>
              <w:right w:val="single" w:color="C9A84C" w:sz="4"/>
            </w:tcBorders>
            <w:shd w:fill="F4F1EB" w:val="clear"/>
            <w:tcMar>
              <w:top w:type="dxa" w:w="120"/>
              <w:left w:type="dxa" w:w="160"/>
              <w:bottom w:type="dxa" w:w="200"/>
              <w:right w:type="dxa" w:w="160"/>
            </w:tcMar>
          </w:tcPr>
          <w:p>
            <w:r>
              <w:rPr>
                <w:rFonts w:ascii="Calibri" w:cs="Calibri" w:eastAsia="Calibri" w:hAnsi="Calibri"/>
                <w:i/>
                <w:iCs/>
                <w:color w:val="555555"/>
                <w:sz w:val="20"/>
                <w:szCs w:val="20"/>
              </w:rPr>
              <w:t xml:space="preserve">[Question text]</w:t>
            </w:r>
          </w:p>
        </w:tc>
      </w:tr>
      <w:tr>
        <w:tc>
          <w:tcPr>
            <w:tcW w:type="dxa" w:w="720"/>
            <w:tcBorders>
              <w:top w:val="single" w:color="C9A84C" w:sz="4"/>
              <w:left w:val="single" w:color="C9A84C" w:sz="4"/>
              <w:bottom w:val="single" w:color="C9A84C" w:sz="4"/>
              <w:right w:val="single" w:color="C9A84C" w:sz="4"/>
            </w:tcBorders>
            <w:tcMar>
              <w:top w:type="dxa" w:w="120"/>
              <w:left w:type="dxa" w:w="120"/>
              <w:bottom w:type="dxa" w:w="200"/>
              <w:right w:type="dxa" w:w="120"/>
            </w:tcMar>
            <w:vAlign w:val="center"/>
          </w:tcPr>
          <w:p>
            <w:pPr>
              <w:jc w:val="center"/>
            </w:pPr>
            <w:r>
              <w:rPr>
                <w:rFonts w:ascii="Calibri" w:cs="Calibri" w:eastAsia="Calibri" w:hAnsi="Calibri"/>
                <w:b/>
                <w:bCs/>
                <w:color w:val="1C2D5E"/>
                <w:sz w:val="20"/>
                <w:szCs w:val="20"/>
              </w:rPr>
              <w:t xml:space="preserve">2.</w:t>
            </w:r>
          </w:p>
        </w:tc>
        <w:tc>
          <w:tcPr>
            <w:tcW w:type="dxa" w:w="9360"/>
            <w:tcBorders>
              <w:top w:val="single" w:color="C9A84C" w:sz="4"/>
              <w:left w:val="single" w:color="C9A84C" w:sz="4"/>
              <w:bottom w:val="single" w:color="C9A84C" w:sz="4"/>
              <w:right w:val="single" w:color="C9A84C" w:sz="4"/>
            </w:tcBorders>
            <w:shd w:fill="F4F1EB" w:val="clear"/>
            <w:tcMar>
              <w:top w:type="dxa" w:w="120"/>
              <w:left w:type="dxa" w:w="160"/>
              <w:bottom w:type="dxa" w:w="200"/>
              <w:right w:type="dxa" w:w="160"/>
            </w:tcMar>
          </w:tcPr>
          <w:p>
            <w:r>
              <w:rPr>
                <w:rFonts w:ascii="Calibri" w:cs="Calibri" w:eastAsia="Calibri" w:hAnsi="Calibri"/>
                <w:i/>
                <w:iCs/>
                <w:color w:val="555555"/>
                <w:sz w:val="20"/>
                <w:szCs w:val="20"/>
              </w:rPr>
              <w:t xml:space="preserve">[Question text]</w:t>
            </w:r>
          </w:p>
        </w:tc>
      </w:tr>
      <w:tr>
        <w:tc>
          <w:tcPr>
            <w:tcW w:type="dxa" w:w="720"/>
            <w:tcBorders>
              <w:top w:val="single" w:color="C9A84C" w:sz="4"/>
              <w:left w:val="single" w:color="C9A84C" w:sz="4"/>
              <w:bottom w:val="single" w:color="C9A84C" w:sz="4"/>
              <w:right w:val="single" w:color="C9A84C" w:sz="4"/>
            </w:tcBorders>
            <w:tcMar>
              <w:top w:type="dxa" w:w="120"/>
              <w:left w:type="dxa" w:w="120"/>
              <w:bottom w:type="dxa" w:w="200"/>
              <w:right w:type="dxa" w:w="120"/>
            </w:tcMar>
            <w:vAlign w:val="center"/>
          </w:tcPr>
          <w:p>
            <w:pPr>
              <w:jc w:val="center"/>
            </w:pPr>
            <w:r>
              <w:rPr>
                <w:rFonts w:ascii="Calibri" w:cs="Calibri" w:eastAsia="Calibri" w:hAnsi="Calibri"/>
                <w:b/>
                <w:bCs/>
                <w:color w:val="1C2D5E"/>
                <w:sz w:val="20"/>
                <w:szCs w:val="20"/>
              </w:rPr>
              <w:t xml:space="preserve">3.</w:t>
            </w:r>
          </w:p>
        </w:tc>
        <w:tc>
          <w:tcPr>
            <w:tcW w:type="dxa" w:w="9360"/>
            <w:tcBorders>
              <w:top w:val="single" w:color="C9A84C" w:sz="4"/>
              <w:left w:val="single" w:color="C9A84C" w:sz="4"/>
              <w:bottom w:val="single" w:color="C9A84C" w:sz="4"/>
              <w:right w:val="single" w:color="C9A84C" w:sz="4"/>
            </w:tcBorders>
            <w:shd w:fill="F4F1EB" w:val="clear"/>
            <w:tcMar>
              <w:top w:type="dxa" w:w="120"/>
              <w:left w:type="dxa" w:w="160"/>
              <w:bottom w:type="dxa" w:w="200"/>
              <w:right w:type="dxa" w:w="160"/>
            </w:tcMar>
          </w:tcPr>
          <w:p>
            <w:r>
              <w:rPr>
                <w:rFonts w:ascii="Calibri" w:cs="Calibri" w:eastAsia="Calibri" w:hAnsi="Calibri"/>
                <w:i/>
                <w:iCs/>
                <w:color w:val="555555"/>
                <w:sz w:val="20"/>
                <w:szCs w:val="20"/>
              </w:rPr>
              <w:t xml:space="preserve">[Question text]</w:t>
            </w:r>
          </w:p>
        </w:tc>
      </w:tr>
      <w:tr>
        <w:tc>
          <w:tcPr>
            <w:tcW w:type="dxa" w:w="720"/>
            <w:tcBorders>
              <w:top w:val="single" w:color="C9A84C" w:sz="4"/>
              <w:left w:val="single" w:color="C9A84C" w:sz="4"/>
              <w:bottom w:val="single" w:color="C9A84C" w:sz="4"/>
              <w:right w:val="single" w:color="C9A84C" w:sz="4"/>
            </w:tcBorders>
            <w:tcMar>
              <w:top w:type="dxa" w:w="120"/>
              <w:left w:type="dxa" w:w="120"/>
              <w:bottom w:type="dxa" w:w="200"/>
              <w:right w:type="dxa" w:w="120"/>
            </w:tcMar>
            <w:vAlign w:val="center"/>
          </w:tcPr>
          <w:p>
            <w:pPr>
              <w:jc w:val="center"/>
            </w:pPr>
            <w:r>
              <w:rPr>
                <w:rFonts w:ascii="Calibri" w:cs="Calibri" w:eastAsia="Calibri" w:hAnsi="Calibri"/>
                <w:b/>
                <w:bCs/>
                <w:color w:val="1C2D5E"/>
                <w:sz w:val="20"/>
                <w:szCs w:val="20"/>
              </w:rPr>
              <w:t xml:space="preserve">4.</w:t>
            </w:r>
          </w:p>
        </w:tc>
        <w:tc>
          <w:tcPr>
            <w:tcW w:type="dxa" w:w="9360"/>
            <w:tcBorders>
              <w:top w:val="single" w:color="C9A84C" w:sz="4"/>
              <w:left w:val="single" w:color="C9A84C" w:sz="4"/>
              <w:bottom w:val="single" w:color="C9A84C" w:sz="4"/>
              <w:right w:val="single" w:color="C9A84C" w:sz="4"/>
            </w:tcBorders>
            <w:shd w:fill="F4F1EB" w:val="clear"/>
            <w:tcMar>
              <w:top w:type="dxa" w:w="120"/>
              <w:left w:type="dxa" w:w="160"/>
              <w:bottom w:type="dxa" w:w="200"/>
              <w:right w:type="dxa" w:w="160"/>
            </w:tcMar>
          </w:tcPr>
          <w:p>
            <w:r>
              <w:rPr>
                <w:rFonts w:ascii="Calibri" w:cs="Calibri" w:eastAsia="Calibri" w:hAnsi="Calibri"/>
                <w:i/>
                <w:iCs/>
                <w:color w:val="555555"/>
                <w:sz w:val="20"/>
                <w:szCs w:val="20"/>
              </w:rPr>
              <w:t xml:space="preserve">[Question text]</w:t>
            </w:r>
          </w:p>
        </w:tc>
      </w:tr>
      <w:tr>
        <w:tc>
          <w:tcPr>
            <w:tcW w:type="dxa" w:w="720"/>
            <w:tcBorders>
              <w:top w:val="single" w:color="C9A84C" w:sz="4"/>
              <w:left w:val="single" w:color="C9A84C" w:sz="4"/>
              <w:bottom w:val="single" w:color="C9A84C" w:sz="4"/>
              <w:right w:val="single" w:color="C9A84C" w:sz="4"/>
            </w:tcBorders>
            <w:tcMar>
              <w:top w:type="dxa" w:w="120"/>
              <w:left w:type="dxa" w:w="120"/>
              <w:bottom w:type="dxa" w:w="200"/>
              <w:right w:type="dxa" w:w="120"/>
            </w:tcMar>
            <w:vAlign w:val="center"/>
          </w:tcPr>
          <w:p>
            <w:pPr>
              <w:jc w:val="center"/>
            </w:pPr>
            <w:r>
              <w:rPr>
                <w:rFonts w:ascii="Calibri" w:cs="Calibri" w:eastAsia="Calibri" w:hAnsi="Calibri"/>
                <w:b/>
                <w:bCs/>
                <w:color w:val="1C2D5E"/>
                <w:sz w:val="20"/>
                <w:szCs w:val="20"/>
              </w:rPr>
              <w:t xml:space="preserve">5.</w:t>
            </w:r>
          </w:p>
        </w:tc>
        <w:tc>
          <w:tcPr>
            <w:tcW w:type="dxa" w:w="9360"/>
            <w:tcBorders>
              <w:top w:val="single" w:color="C9A84C" w:sz="4"/>
              <w:left w:val="single" w:color="C9A84C" w:sz="4"/>
              <w:bottom w:val="single" w:color="C9A84C" w:sz="4"/>
              <w:right w:val="single" w:color="C9A84C" w:sz="4"/>
            </w:tcBorders>
            <w:shd w:fill="F4F1EB" w:val="clear"/>
            <w:tcMar>
              <w:top w:type="dxa" w:w="120"/>
              <w:left w:type="dxa" w:w="160"/>
              <w:bottom w:type="dxa" w:w="200"/>
              <w:right w:type="dxa" w:w="160"/>
            </w:tcMar>
          </w:tcPr>
          <w:p>
            <w:r>
              <w:rPr>
                <w:rFonts w:ascii="Calibri" w:cs="Calibri" w:eastAsia="Calibri" w:hAnsi="Calibri"/>
                <w:i/>
                <w:iCs/>
                <w:color w:val="555555"/>
                <w:sz w:val="20"/>
                <w:szCs w:val="20"/>
              </w:rPr>
              <w:t xml:space="preserve">[Question text]</w:t>
            </w:r>
          </w:p>
        </w:tc>
      </w:tr>
    </w:tbl>
    <w:p>
      <w:pPr>
        <w:spacing w:after="0" w:before="2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6 — ASSESSMENT RESULTS</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C9A84C" w:sz="4"/>
              <w:left w:val="single" w:color="C9A84C" w:sz="4"/>
              <w:bottom w:val="single" w:color="C9A84C" w:sz="4"/>
              <w:right w:val="single" w:color="C9A84C" w:sz="4"/>
            </w:tcBorders>
            <w:shd w:fill="1C2D5E" w:val="clear"/>
            <w:tcMar>
              <w:top w:type="dxa" w:w="200"/>
              <w:left w:type="dxa" w:w="240"/>
              <w:bottom w:type="dxa" w:w="200"/>
              <w:right w:type="dxa" w:w="240"/>
            </w:tcMar>
            <w:vAlign w:val="center"/>
          </w:tcPr>
          <w:p>
            <w:pPr>
              <w:jc w:val="center"/>
            </w:pPr>
            <w:r>
              <w:rPr>
                <w:rFonts w:ascii="Cambria" w:cs="Cambria" w:eastAsia="Cambria" w:hAnsi="Cambria"/>
                <w:b/>
                <w:bCs/>
                <w:color w:val="C9A84C"/>
                <w:sz w:val="20"/>
                <w:szCs w:val="20"/>
              </w:rPr>
              <w:t xml:space="preserve">CONVERUS CREDIBILITY SCORE</w:t>
            </w:r>
          </w:p>
          <w:p>
            <w:pPr>
              <w:spacing w:before="100"/>
              <w:jc w:val="center"/>
            </w:pPr>
            <w:r>
              <w:rPr>
                <w:rFonts w:ascii="Cambria" w:cs="Cambria" w:eastAsia="Cambria" w:hAnsi="Cambria"/>
                <w:b/>
                <w:bCs/>
                <w:color w:val="FFFFFF"/>
                <w:sz w:val="48"/>
                <w:szCs w:val="48"/>
              </w:rPr>
              <w:t xml:space="preserve">[  SCORE  ]</w:t>
            </w:r>
          </w:p>
          <w:p>
            <w:pPr>
              <w:spacing w:before="60"/>
              <w:jc w:val="center"/>
            </w:pPr>
            <w:r>
              <w:rPr>
                <w:rFonts w:ascii="Calibri" w:cs="Calibri" w:eastAsia="Calibri" w:hAnsi="Calibri"/>
                <w:i/>
                <w:iCs/>
                <w:color w:val="E8DFC8"/>
                <w:sz w:val="17"/>
                <w:szCs w:val="17"/>
              </w:rPr>
              <w:t xml:space="preserve">(0 = Deceptive  |  100 = Truthful)</w:t>
            </w:r>
          </w:p>
        </w:tc>
        <w:tc>
          <w:tcPr>
            <w:tcW w:type="dxa" w:w="5040"/>
            <w:tcBorders>
              <w:top w:val="single" w:color="C9A84C" w:sz="4"/>
              <w:left w:val="single" w:color="C9A84C" w:sz="4"/>
              <w:bottom w:val="single" w:color="C9A84C" w:sz="4"/>
              <w:right w:val="single" w:color="C9A84C" w:sz="4"/>
            </w:tcBorders>
            <w:shd w:fill="F4F1EB" w:val="clear"/>
            <w:tcMar>
              <w:top w:type="dxa" w:w="200"/>
              <w:left w:type="dxa" w:w="240"/>
              <w:bottom w:type="dxa" w:w="200"/>
              <w:right w:type="dxa" w:w="240"/>
            </w:tcMar>
            <w:vAlign w:val="center"/>
          </w:tcPr>
          <w:p>
            <w:pPr>
              <w:jc w:val="center"/>
            </w:pPr>
            <w:r>
              <w:rPr>
                <w:rFonts w:ascii="Cambria" w:cs="Cambria" w:eastAsia="Cambria" w:hAnsi="Cambria"/>
                <w:b/>
                <w:bCs/>
                <w:color w:val="1C2D5E"/>
                <w:sz w:val="20"/>
                <w:szCs w:val="20"/>
              </w:rPr>
              <w:t xml:space="preserve">RESULT CLASSIFICATION</w:t>
            </w:r>
          </w:p>
          <w:p>
            <w:pPr>
              <w:spacing w:before="100"/>
              <w:jc w:val="center"/>
            </w:pPr>
            <w:r>
              <w:rPr>
                <w:rFonts w:ascii="Cambria" w:cs="Cambria" w:eastAsia="Cambria" w:hAnsi="Cambria"/>
                <w:b/>
                <w:bCs/>
                <w:color w:val="1C2D5E"/>
                <w:sz w:val="26"/>
                <w:szCs w:val="26"/>
              </w:rPr>
              <w:t xml:space="preserve">[ TRUTHFUL / NON-TRUTHFUL ]</w:t>
            </w:r>
          </w:p>
          <w:p>
            <w:pPr>
              <w:spacing w:before="60"/>
              <w:jc w:val="center"/>
            </w:pPr>
            <w:r>
              <w:rPr>
                <w:rFonts w:ascii="Calibri" w:cs="Calibri" w:eastAsia="Calibri" w:hAnsi="Calibri"/>
                <w:i/>
                <w:iCs/>
                <w:color w:val="555555"/>
                <w:sz w:val="17"/>
                <w:szCs w:val="17"/>
              </w:rPr>
              <w:t xml:space="preserve">(Delete inapplicable classification)</w:t>
            </w:r>
          </w:p>
        </w:tc>
      </w:tr>
    </w:tbl>
    <w:p>
      <w:pPr>
        <w:spacing w:after="0" w:before="160"/>
      </w:pPr>
      <w:r>
        <w:t xml:space="preserve"/>
      </w:r>
    </w:p>
    <w:p>
      <w:pPr>
        <w:spacing w:after="100" w:before="100"/>
        <w:jc w:val="left"/>
      </w:pPr>
      <w:r>
        <w:rPr>
          <w:rFonts w:ascii="Calibri" w:cs="Calibri" w:eastAsia="Calibri" w:hAnsi="Calibri"/>
          <w:b/>
          <w:bCs/>
          <w:i w:val="false"/>
          <w:iCs w:val="false"/>
          <w:color w:val="000000"/>
          <w:sz w:val="22"/>
          <w:szCs w:val="22"/>
        </w:rPr>
        <w:t xml:space="preserve">Result Interpretation:</w:t>
      </w:r>
    </w:p>
    <w:p>
      <w:pPr>
        <w:spacing w:after="100" w:before="100"/>
        <w:jc w:val="left"/>
      </w:pPr>
      <w:r>
        <w:rPr>
          <w:rFonts w:ascii="Calibri" w:cs="Calibri" w:eastAsia="Calibri" w:hAnsi="Calibri"/>
          <w:b w:val="false"/>
          <w:bCs w:val="false"/>
          <w:i/>
          <w:iCs/>
          <w:color w:val="555555"/>
          <w:sz w:val="22"/>
          <w:szCs w:val="22"/>
        </w:rPr>
        <w:t xml:space="preserve">[Examiner provides 2–3 sentence professional interpretation of the score and classification, including any notable observations about test conditions or subject cooperation.]</w:t>
      </w:r>
    </w:p>
    <w:p>
      <w:pPr>
        <w:spacing w:after="0" w:before="2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7 — EXAMINER OBSERVATIONS</w:t>
      </w:r>
    </w:p>
    <w:p>
      <w:pPr>
        <w:spacing w:after="0" w:before="120"/>
      </w:pPr>
      <w:r>
        <w:t xml:space="preserve"/>
      </w:r>
    </w:p>
    <w:p>
      <w:pPr>
        <w:spacing w:after="100" w:before="100"/>
        <w:jc w:val="left"/>
      </w:pPr>
      <w:r>
        <w:rPr>
          <w:rFonts w:ascii="Calibri" w:cs="Calibri" w:eastAsia="Calibri" w:hAnsi="Calibri"/>
          <w:b w:val="false"/>
          <w:bCs w:val="false"/>
          <w:i/>
          <w:iCs/>
          <w:color w:val="555555"/>
          <w:sz w:val="22"/>
          <w:szCs w:val="22"/>
        </w:rPr>
        <w:t xml:space="preserve">[Examiner documents observations regarding subject demeanor, test conditions, cooperation level, any technical issues encountered, and any relevant pre-test or post-test statements made by the subject.]</w:t>
      </w:r>
    </w:p>
    <w:p>
      <w:pPr>
        <w:spacing w:after="0" w:before="2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8 — LIMITATIONS &amp; DISCLOSURES</w:t>
      </w:r>
    </w:p>
    <w:p>
      <w:pPr>
        <w:spacing w:after="0" w:before="120"/>
      </w:pPr>
      <w:r>
        <w:t xml:space="preserve"/>
      </w:r>
    </w:p>
    <w:p>
      <w:pPr>
        <w:spacing w:after="100" w:before="100"/>
        <w:jc w:val="left"/>
      </w:pPr>
      <w:r>
        <w:rPr>
          <w:rFonts w:ascii="Calibri" w:cs="Calibri" w:eastAsia="Calibri" w:hAnsi="Calibri"/>
          <w:b w:val="false"/>
          <w:bCs w:val="false"/>
          <w:i w:val="false"/>
          <w:iCs w:val="false"/>
          <w:color w:val="000000"/>
          <w:sz w:val="22"/>
          <w:szCs w:val="22"/>
        </w:rPr>
        <w:t xml:space="preserve">The following limitations and disclosures apply to this report:</w:t>
      </w:r>
    </w:p>
    <w:p>
      <w:pPr>
        <w:pStyle w:val="ListParagraph"/>
        <w:numPr>
          <w:ilvl w:val="0"/>
          <w:numId w:val="2"/>
        </w:numPr>
        <w:spacing w:after="40" w:before="80"/>
      </w:pPr>
      <w:r>
        <w:rPr>
          <w:rFonts w:ascii="Calibri" w:cs="Calibri" w:eastAsia="Calibri" w:hAnsi="Calibri"/>
          <w:sz w:val="22"/>
          <w:szCs w:val="22"/>
        </w:rPr>
        <w:t xml:space="preserve">VerifEye® results are not a conclusive determination of guilt or innocence. This report is intended to provide supplemental credibility data for attorney and judicial consideration.</w:t>
      </w:r>
    </w:p>
    <w:p>
      <w:pPr>
        <w:pStyle w:val="ListParagraph"/>
        <w:numPr>
          <w:ilvl w:val="0"/>
          <w:numId w:val="2"/>
        </w:numPr>
        <w:spacing w:after="40" w:before="40"/>
      </w:pPr>
      <w:r>
        <w:rPr>
          <w:rFonts w:ascii="Calibri" w:cs="Calibri" w:eastAsia="Calibri" w:hAnsi="Calibri"/>
          <w:sz w:val="22"/>
          <w:szCs w:val="22"/>
        </w:rPr>
        <w:t xml:space="preserve">The admissibility of credibility assessment evidence is subject to judicial discretion and applicable rules of evidence. Counsel should consult applicable Texas Rules of Evidence.</w:t>
      </w:r>
    </w:p>
    <w:p>
      <w:pPr>
        <w:pStyle w:val="ListParagraph"/>
        <w:numPr>
          <w:ilvl w:val="0"/>
          <w:numId w:val="2"/>
        </w:numPr>
        <w:spacing w:after="40" w:before="40"/>
      </w:pPr>
      <w:r>
        <w:rPr>
          <w:rFonts w:ascii="Calibri" w:cs="Calibri" w:eastAsia="Calibri" w:hAnsi="Calibri"/>
          <w:sz w:val="22"/>
          <w:szCs w:val="22"/>
        </w:rPr>
        <w:t xml:space="preserve">VerifEye® has a validated accuracy rate of 80%+ under standard conditions. No credibility assessment technology is 100% accurate.</w:t>
      </w:r>
    </w:p>
    <w:p>
      <w:pPr>
        <w:pStyle w:val="ListParagraph"/>
        <w:numPr>
          <w:ilvl w:val="0"/>
          <w:numId w:val="2"/>
        </w:numPr>
        <w:spacing w:after="100" w:before="40"/>
      </w:pPr>
      <w:r>
        <w:rPr>
          <w:rFonts w:ascii="Calibri" w:cs="Calibri" w:eastAsia="Calibri" w:hAnsi="Calibri"/>
          <w:sz w:val="22"/>
          <w:szCs w:val="22"/>
        </w:rPr>
        <w:t xml:space="preserve">This report constitutes confidential attorney work product and is intended solely for the use of the retaining attorney and authorized court personnel.</w:t>
      </w:r>
    </w:p>
    <w:p>
      <w:pPr>
        <w:spacing w:after="0" w:before="200"/>
      </w:pPr>
      <w:r>
        <w:t xml:space="preserve"/>
      </w:r>
    </w:p>
    <w:p>
      <w:pPr>
        <w:pBdr>
          <w:bottom w:val="single" w:color="C9A84C" w:sz="6" w:space="1"/>
        </w:pBdr>
        <w:spacing w:after="80" w:before="280"/>
      </w:pPr>
      <w:r>
        <w:rPr>
          <w:rFonts w:ascii="Cambria" w:cs="Cambria" w:eastAsia="Cambria" w:hAnsi="Cambria"/>
          <w:b/>
          <w:bCs/>
          <w:color w:val="1C2D5E"/>
          <w:sz w:val="26"/>
          <w:szCs w:val="26"/>
        </w:rPr>
        <w:t xml:space="preserve">SECTION 9 — EXAMINER CERTIFICATION &amp; SIGNATURE</w:t>
      </w:r>
    </w:p>
    <w:p>
      <w:pPr>
        <w:spacing w:after="0" w:before="120"/>
      </w:pPr>
      <w:r>
        <w:t xml:space="preserve"/>
      </w:r>
    </w:p>
    <w:p>
      <w:pPr>
        <w:spacing w:after="100" w:before="100"/>
        <w:jc w:val="left"/>
      </w:pPr>
      <w:r>
        <w:rPr>
          <w:rFonts w:ascii="Calibri" w:cs="Calibri" w:eastAsia="Calibri" w:hAnsi="Calibri"/>
          <w:b w:val="false"/>
          <w:bCs w:val="false"/>
          <w:i w:val="false"/>
          <w:iCs w:val="false"/>
          <w:color w:val="000000"/>
          <w:sz w:val="22"/>
          <w:szCs w:val="22"/>
        </w:rPr>
        <w:t xml:space="preserve">I, Dr. Celvin G. Walwyn, Ph.D., hereby certify that:</w:t>
      </w:r>
    </w:p>
    <w:p>
      <w:pPr>
        <w:pStyle w:val="ListParagraph"/>
        <w:numPr>
          <w:ilvl w:val="0"/>
          <w:numId w:val="2"/>
        </w:numPr>
        <w:spacing w:after="40" w:before="80"/>
      </w:pPr>
      <w:r>
        <w:rPr>
          <w:rFonts w:ascii="Calibri" w:cs="Calibri" w:eastAsia="Calibri" w:hAnsi="Calibri"/>
          <w:sz w:val="22"/>
          <w:szCs w:val="22"/>
        </w:rPr>
        <w:t xml:space="preserve">I am a Converus-certified VerifEye® examiner in good standing.</w:t>
      </w:r>
    </w:p>
    <w:p>
      <w:pPr>
        <w:pStyle w:val="ListParagraph"/>
        <w:numPr>
          <w:ilvl w:val="0"/>
          <w:numId w:val="2"/>
        </w:numPr>
        <w:spacing w:after="40" w:before="40"/>
      </w:pPr>
      <w:r>
        <w:rPr>
          <w:rFonts w:ascii="Calibri" w:cs="Calibri" w:eastAsia="Calibri" w:hAnsi="Calibri"/>
          <w:sz w:val="22"/>
          <w:szCs w:val="22"/>
        </w:rPr>
        <w:t xml:space="preserve">This assessment was administered in accordance with Converus protocols and IAI standard operating procedures.</w:t>
      </w:r>
    </w:p>
    <w:p>
      <w:pPr>
        <w:pStyle w:val="ListParagraph"/>
        <w:numPr>
          <w:ilvl w:val="0"/>
          <w:numId w:val="2"/>
        </w:numPr>
        <w:spacing w:after="40" w:before="40"/>
      </w:pPr>
      <w:r>
        <w:rPr>
          <w:rFonts w:ascii="Calibri" w:cs="Calibri" w:eastAsia="Calibri" w:hAnsi="Calibri"/>
          <w:sz w:val="22"/>
          <w:szCs w:val="22"/>
        </w:rPr>
        <w:t xml:space="preserve">The information contained in this report is accurate to the best of my professional knowledge.</w:t>
      </w:r>
    </w:p>
    <w:p>
      <w:pPr>
        <w:pStyle w:val="ListParagraph"/>
        <w:numPr>
          <w:ilvl w:val="0"/>
          <w:numId w:val="2"/>
        </w:numPr>
        <w:spacing w:after="100" w:before="40"/>
      </w:pPr>
      <w:r>
        <w:rPr>
          <w:rFonts w:ascii="Calibri" w:cs="Calibri" w:eastAsia="Calibri" w:hAnsi="Calibri"/>
          <w:sz w:val="22"/>
          <w:szCs w:val="22"/>
        </w:rPr>
        <w:t xml:space="preserve">I have no financial interest in the outcome of the referenced legal matter.</w:t>
      </w:r>
    </w:p>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0"/>
        <w:gridCol w:w="480"/>
        <w:gridCol w:w="4800"/>
      </w:tblGrid>
      <w:tr>
        <w:tc>
          <w:tcPr>
            <w:tcW w:type="dxa" w:w="4800"/>
            <w:tcBorders>
              <w:top w:val="none" w:color="FFFFFF" w:sz="0"/>
              <w:left w:val="none" w:color="FFFFFF" w:sz="0"/>
              <w:bottom w:val="none" w:color="FFFFFF" w:sz="0"/>
              <w:right w:val="none" w:color="FFFFFF" w:sz="0"/>
            </w:tcBorders>
            <w:tcMar>
              <w:top w:type="dxa" w:w="80"/>
              <w:left w:type="dxa" w:w="0"/>
              <w:bottom w:type="dxa" w:w="80"/>
              <w:right w:type="dxa" w:w="0"/>
            </w:tcMar>
          </w:tcPr>
          <w:p>
            <w:pPr>
              <w:pBdr>
                <w:bottom w:val="single" w:color="1C2D5E" w:sz="6"/>
              </w:pBdr>
            </w:pPr>
            <w:r>
              <w:rPr>
                <w:sz w:val="40"/>
                <w:szCs w:val="40"/>
              </w:rPr>
              <w:t xml:space="preserve"/>
            </w:r>
          </w:p>
          <w:p>
            <w:pPr>
              <w:spacing w:before="80"/>
            </w:pPr>
            <w:r>
              <w:rPr>
                <w:rFonts w:ascii="Calibri" w:cs="Calibri" w:eastAsia="Calibri" w:hAnsi="Calibri"/>
                <w:b/>
                <w:bCs/>
                <w:color w:val="555555"/>
                <w:sz w:val="18"/>
                <w:szCs w:val="18"/>
              </w:rPr>
              <w:t xml:space="preserve">Examiner Signature</w:t>
            </w:r>
          </w:p>
          <w:p>
            <w:r>
              <w:rPr>
                <w:rFonts w:ascii="Calibri" w:cs="Calibri" w:eastAsia="Calibri" w:hAnsi="Calibri"/>
                <w:color w:val="555555"/>
                <w:sz w:val="18"/>
                <w:szCs w:val="18"/>
              </w:rPr>
              <w:t xml:space="preserve">Dr. Celvin G. Walwyn, Ph.D.</w:t>
            </w:r>
          </w:p>
          <w:p>
            <w:r>
              <w:rPr>
                <w:rFonts w:ascii="Calibri" w:cs="Calibri" w:eastAsia="Calibri" w:hAnsi="Calibri"/>
                <w:color w:val="555555"/>
                <w:sz w:val="18"/>
                <w:szCs w:val="18"/>
              </w:rPr>
              <w:t xml:space="preserve">TX PI Lic. A19944401</w:t>
            </w:r>
          </w:p>
        </w:tc>
        <w:tc>
          <w:tcPr>
            <w:tcW w:type="dxa" w:w="480"/>
            <w:tcBorders>
              <w:top w:val="none" w:color="FFFFFF" w:sz="0"/>
              <w:left w:val="none" w:color="FFFFFF" w:sz="0"/>
              <w:bottom w:val="none" w:color="FFFFFF" w:sz="0"/>
              <w:right w:val="none" w:color="FFFFFF" w:sz="0"/>
            </w:tcBorders>
          </w:tcPr>
          <w:p>
            <w:r>
              <w:t xml:space="preserve"/>
            </w:r>
          </w:p>
        </w:tc>
        <w:tc>
          <w:tcPr>
            <w:tcW w:type="dxa" w:w="4800"/>
            <w:tcBorders>
              <w:top w:val="none" w:color="FFFFFF" w:sz="0"/>
              <w:left w:val="none" w:color="FFFFFF" w:sz="0"/>
              <w:bottom w:val="none" w:color="FFFFFF" w:sz="0"/>
              <w:right w:val="none" w:color="FFFFFF" w:sz="0"/>
            </w:tcBorders>
            <w:tcMar>
              <w:top w:type="dxa" w:w="80"/>
              <w:left w:type="dxa" w:w="0"/>
              <w:bottom w:type="dxa" w:w="80"/>
              <w:right w:type="dxa" w:w="0"/>
            </w:tcMar>
          </w:tcPr>
          <w:p>
            <w:pPr>
              <w:pBdr>
                <w:bottom w:val="single" w:color="1C2D5E" w:sz="6"/>
              </w:pBdr>
            </w:pPr>
            <w:r>
              <w:rPr>
                <w:sz w:val="40"/>
                <w:szCs w:val="40"/>
              </w:rPr>
              <w:t xml:space="preserve"/>
            </w:r>
          </w:p>
          <w:p>
            <w:pPr>
              <w:spacing w:before="80"/>
            </w:pPr>
            <w:r>
              <w:rPr>
                <w:rFonts w:ascii="Calibri" w:cs="Calibri" w:eastAsia="Calibri" w:hAnsi="Calibri"/>
                <w:b/>
                <w:bCs/>
                <w:color w:val="555555"/>
                <w:sz w:val="18"/>
                <w:szCs w:val="18"/>
              </w:rPr>
              <w:t xml:space="preserve">Date Signed</w:t>
            </w:r>
          </w:p>
        </w:tc>
      </w:tr>
    </w:tbl>
    <w:p>
      <w:pPr>
        <w:spacing w:after="0" w:before="3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9A84C" w:sz="4"/>
              <w:left w:val="single" w:color="C9A84C" w:sz="4"/>
              <w:bottom w:val="single" w:color="C9A84C" w:sz="4"/>
              <w:right w:val="single" w:color="C9A84C" w:sz="4"/>
            </w:tcBorders>
            <w:shd w:fill="FFF8E7" w:val="clear"/>
            <w:tcMar>
              <w:top w:type="dxa" w:w="120"/>
              <w:left w:type="dxa" w:w="200"/>
              <w:bottom w:type="dxa" w:w="120"/>
              <w:right w:type="dxa" w:w="200"/>
            </w:tcMar>
          </w:tcPr>
          <w:p>
            <w:pPr>
              <w:jc w:val="center"/>
            </w:pPr>
            <w:r>
              <w:rPr>
                <w:rFonts w:ascii="Cambria" w:cs="Cambria" w:eastAsia="Cambria" w:hAnsi="Cambria"/>
                <w:b/>
                <w:bCs/>
                <w:color w:val="1C2D5E"/>
                <w:sz w:val="20"/>
                <w:szCs w:val="20"/>
              </w:rPr>
              <w:t xml:space="preserve">CONFIDENTIALITY NOTICE</w:t>
            </w:r>
          </w:p>
          <w:p>
            <w:pPr>
              <w:spacing w:before="80"/>
              <w:jc w:val="center"/>
            </w:pPr>
            <w:r>
              <w:rPr>
                <w:rFonts w:ascii="Calibri" w:cs="Calibri" w:eastAsia="Calibri" w:hAnsi="Calibri"/>
                <w:i/>
                <w:iCs/>
                <w:color w:val="555555"/>
                <w:sz w:val="18"/>
                <w:szCs w:val="18"/>
              </w:rPr>
              <w:t xml:space="preserve">This report and its contents are confidential and constitute attorney work product. It is intended solely for the use of the retaining defense attorney and authorized court personnel in connection with the above-referenced matter. Unauthorized disclosure, reproduction, or distribution is strictly prohibited.</w:t>
            </w:r>
          </w:p>
          <w:p>
            <w:pPr>
              <w:spacing w:before="80"/>
              <w:jc w:val="center"/>
            </w:pPr>
            <w:r>
              <w:rPr>
                <w:rFonts w:ascii="Calibri" w:cs="Calibri" w:eastAsia="Calibri" w:hAnsi="Calibri"/>
                <w:b/>
                <w:bCs/>
                <w:color w:val="1C2D5E"/>
                <w:sz w:val="18"/>
                <w:szCs w:val="18"/>
              </w:rPr>
              <w:t xml:space="preserve">Integrity Assessments Investigations  |  TX Lic. A19944401  |  admin@iahotx.com  |  (407) 341-2778  |  iahotx.com</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space="1"/>
      </w:pBdr>
    </w:pPr>
    <w:r>
      <w:t xml:space="preserve"/>
    </w:r>
  </w:p>
  <w:p>
    <w:pPr>
      <w:tabs>
        <w:tab w:val="right" w:pos="10080"/>
      </w:tabs>
    </w:pPr>
    <w:r>
      <w:rPr>
        <w:rFonts w:ascii="Calibri" w:cs="Calibri" w:eastAsia="Calibri" w:hAnsi="Calibri"/>
        <w:color w:val="555555"/>
        <w:sz w:val="16"/>
        <w:szCs w:val="16"/>
      </w:rPr>
      <w:t xml:space="preserve">IAI VerifEye® Credibility Assessment Report  |  Confidential — For Attorney Use Only</w:t>
    </w:r>
    <w:r>
      <w:rPr>
        <w:rFonts w:ascii="Calibri" w:cs="Calibri" w:eastAsia="Calibri" w:hAnsi="Calibri"/>
        <w:color w:val="555555"/>
        <w:sz w:val="16"/>
        <w:szCs w:val="16"/>
      </w:rPr>
      <w:t xml:space="preserve">	Page </w:t>
    </w:r>
    <w:r>
      <w:rPr>
        <w:rFonts w:ascii="Calibri" w:cs="Calibri" w:eastAsia="Calibri" w:hAnsi="Calibri"/>
        <w:color w:val="555555"/>
        <w:sz w:val="16"/>
        <w:szCs w:val="16"/>
      </w:rPr>
      <w:t xml:space="preser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200"/>
      <w:gridCol w:w="2880"/>
    </w:tblGrid>
    <w:tr>
      <w:tc>
        <w:tcPr>
          <w:tcW w:type="dxa" w:w="720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r>
            <w:rPr>
              <w:rFonts w:ascii="Cambria" w:cs="Cambria" w:eastAsia="Cambria" w:hAnsi="Cambria"/>
              <w:b/>
              <w:bCs/>
              <w:color w:val="1C2D5E"/>
              <w:sz w:val="22"/>
              <w:szCs w:val="22"/>
            </w:rPr>
            <w:t xml:space="preserve">INTEGRITY ASSESSMENTS INVESTIGATIONS</w:t>
          </w:r>
        </w:p>
        <w:p>
          <w:r>
            <w:rPr>
              <w:rFonts w:ascii="Calibri" w:cs="Calibri" w:eastAsia="Calibri" w:hAnsi="Calibri"/>
              <w:color w:val="555555"/>
              <w:sz w:val="18"/>
              <w:szCs w:val="18"/>
            </w:rPr>
            <w:t xml:space="preserve">TX Lic. A19944401  |  (407) 341-2778  |  admin@iahotx.com</w:t>
          </w:r>
        </w:p>
      </w:tc>
      <w:tc>
        <w:tcPr>
          <w:tcW w:type="dxa" w:w="2880"/>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jc w:val="right"/>
          </w:pPr>
          <w:r>
            <w:rPr>
              <w:rFonts w:ascii="Cambria" w:cs="Cambria" w:eastAsia="Cambria" w:hAnsi="Cambria"/>
              <w:b/>
              <w:bCs/>
              <w:color w:val="C9A84C"/>
              <w:sz w:val="20"/>
              <w:szCs w:val="20"/>
            </w:rPr>
            <w:t xml:space="preserve">VerifEye® Credibility Report</w:t>
          </w:r>
        </w:p>
        <w:p>
          <w:pPr>
            <w:jc w:val="right"/>
          </w:pPr>
          <w:r>
            <w:rPr>
              <w:rFonts w:ascii="Calibri" w:cs="Calibri" w:eastAsia="Calibri" w:hAnsi="Calibri"/>
              <w:b/>
              <w:bCs/>
              <w:color w:val="CC0000"/>
              <w:sz w:val="18"/>
              <w:szCs w:val="18"/>
            </w:rPr>
            <w:t xml:space="preserve">CONFIDENTIAL</w:t>
          </w:r>
        </w:p>
      </w:tc>
    </w:tr>
  </w:tbl>
  <w:p>
    <w:pPr>
      <w:pBdr>
        <w:bottom w:val="single" w:color="C9A84C" w:sz="8" w:space="1"/>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2026-04-27T04:15:26.980Z</dcterms:created>
  <dcterms:modified xsi:type="dcterms:W3CDTF">2026-04-27T04:15:26.981Z</dcterms:modified>
</cp:coreProperties>
</file>

<file path=docProps/custom.xml><?xml version="1.0" encoding="utf-8"?>
<Properties xmlns="http://schemas.openxmlformats.org/officeDocument/2006/custom-properties" xmlns:vt="http://schemas.openxmlformats.org/officeDocument/2006/docPropsVTypes"/>
</file>